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3554" w14:textId="199B6F77" w:rsidR="00520D41" w:rsidRPr="004E7037" w:rsidRDefault="003B4EE1">
      <w:pPr>
        <w:pStyle w:val="BodyText"/>
        <w:spacing w:before="102"/>
        <w:ind w:left="0"/>
        <w:jc w:val="left"/>
        <w:rPr>
          <w:rFonts w:ascii="Microsoft Sans Serif"/>
          <w:b/>
          <w:bCs/>
        </w:rPr>
      </w:pPr>
      <w:r>
        <w:rPr>
          <w:rFonts w:ascii="Microsoft Sans Serif"/>
          <w:b/>
          <w:bCs/>
        </w:rPr>
        <w:t xml:space="preserve"> </w:t>
      </w:r>
    </w:p>
    <w:p w14:paraId="031487B3" w14:textId="77777777" w:rsidR="00520D41" w:rsidRPr="004E7037" w:rsidRDefault="00AD0995">
      <w:pPr>
        <w:ind w:left="142"/>
        <w:jc w:val="center"/>
        <w:rPr>
          <w:b/>
          <w:bCs/>
          <w:i/>
          <w:sz w:val="24"/>
        </w:rPr>
      </w:pPr>
      <w:r w:rsidRPr="004E7037">
        <w:rPr>
          <w:b/>
          <w:bCs/>
          <w:i/>
          <w:sz w:val="24"/>
          <w:u w:val="single"/>
        </w:rPr>
        <w:t>Les</w:t>
      </w:r>
      <w:r w:rsidRPr="004E7037">
        <w:rPr>
          <w:b/>
          <w:bCs/>
          <w:i/>
          <w:spacing w:val="-2"/>
          <w:sz w:val="24"/>
          <w:u w:val="single"/>
        </w:rPr>
        <w:t xml:space="preserve"> </w:t>
      </w:r>
      <w:r w:rsidRPr="004E7037">
        <w:rPr>
          <w:b/>
          <w:bCs/>
          <w:i/>
          <w:sz w:val="24"/>
          <w:u w:val="single"/>
        </w:rPr>
        <w:t>derniers</w:t>
      </w:r>
      <w:r w:rsidRPr="004E7037">
        <w:rPr>
          <w:b/>
          <w:bCs/>
          <w:i/>
          <w:spacing w:val="-1"/>
          <w:sz w:val="24"/>
          <w:u w:val="single"/>
        </w:rPr>
        <w:t xml:space="preserve"> </w:t>
      </w:r>
      <w:r w:rsidRPr="004E7037">
        <w:rPr>
          <w:b/>
          <w:bCs/>
          <w:i/>
          <w:spacing w:val="-2"/>
          <w:sz w:val="24"/>
          <w:u w:val="single"/>
        </w:rPr>
        <w:t>hommes</w:t>
      </w:r>
    </w:p>
    <w:p w14:paraId="45A689A3" w14:textId="77777777" w:rsidR="00520D41" w:rsidRPr="004E7037" w:rsidRDefault="00520D41">
      <w:pPr>
        <w:pStyle w:val="BodyText"/>
        <w:spacing w:before="19"/>
        <w:ind w:left="0"/>
        <w:jc w:val="left"/>
        <w:rPr>
          <w:b/>
          <w:bCs/>
          <w:i/>
        </w:rPr>
      </w:pPr>
    </w:p>
    <w:p w14:paraId="20FB011E" w14:textId="27AC13BE" w:rsidR="00520D41" w:rsidRPr="004E7037" w:rsidRDefault="00AD0995">
      <w:pPr>
        <w:pStyle w:val="BodyText"/>
        <w:spacing w:before="0" w:line="360" w:lineRule="auto"/>
        <w:ind w:firstLine="300"/>
        <w:rPr>
          <w:b/>
          <w:bCs/>
        </w:rPr>
      </w:pPr>
      <w:r w:rsidRPr="004E7037">
        <w:rPr>
          <w:b/>
          <w:bCs/>
        </w:rPr>
        <w:t xml:space="preserve">Au-delà de son </w:t>
      </w:r>
      <w:r w:rsidRPr="004E7037">
        <w:rPr>
          <w:b/>
          <w:bCs/>
          <w:color w:val="00B050"/>
        </w:rPr>
        <w:t xml:space="preserve">ambivalence </w:t>
      </w:r>
      <w:r w:rsidRPr="004E7037">
        <w:rPr>
          <w:b/>
          <w:bCs/>
        </w:rPr>
        <w:t>et par-delà l’extraordinaire diversité de ses formes et de ses contenus, la colonisation moderne était l’une des filles</w:t>
      </w:r>
      <w:r w:rsidR="001B38E7">
        <w:rPr>
          <w:b/>
          <w:bCs/>
        </w:rPr>
        <w:t>(</w:t>
      </w:r>
      <w:proofErr w:type="spellStart"/>
      <w:r w:rsidR="001B38E7">
        <w:rPr>
          <w:b/>
          <w:bCs/>
        </w:rPr>
        <w:t>consequences</w:t>
      </w:r>
      <w:proofErr w:type="spellEnd"/>
      <w:r w:rsidR="001B38E7">
        <w:rPr>
          <w:b/>
          <w:bCs/>
        </w:rPr>
        <w:t>)</w:t>
      </w:r>
      <w:r w:rsidRPr="004E7037">
        <w:rPr>
          <w:b/>
          <w:bCs/>
        </w:rPr>
        <w:t xml:space="preserve"> directes des doctrines qui consistaient</w:t>
      </w:r>
      <w:r w:rsidRPr="004E7037">
        <w:rPr>
          <w:b/>
          <w:bCs/>
          <w:spacing w:val="40"/>
        </w:rPr>
        <w:t xml:space="preserve"> </w:t>
      </w:r>
      <w:r w:rsidRPr="004E7037">
        <w:rPr>
          <w:b/>
          <w:bCs/>
        </w:rPr>
        <w:t xml:space="preserve">à </w:t>
      </w:r>
      <w:r w:rsidRPr="001B38E7">
        <w:rPr>
          <w:b/>
          <w:bCs/>
          <w:color w:val="00B050"/>
        </w:rPr>
        <w:t xml:space="preserve">trier </w:t>
      </w:r>
      <w:r w:rsidRPr="004E7037">
        <w:rPr>
          <w:b/>
          <w:bCs/>
        </w:rPr>
        <w:t xml:space="preserve">les hommes et à les diviser en deux groupes : </w:t>
      </w:r>
      <w:r w:rsidRPr="001B38E7">
        <w:rPr>
          <w:b/>
          <w:bCs/>
          <w:color w:val="00B0F0"/>
        </w:rPr>
        <w:t>ceux qui comptent et que l’on compte</w:t>
      </w:r>
      <w:r w:rsidRPr="004E7037">
        <w:rPr>
          <w:b/>
          <w:bCs/>
        </w:rPr>
        <w:t>, d’une part, et «</w:t>
      </w:r>
      <w:r w:rsidRPr="004E7037">
        <w:rPr>
          <w:b/>
          <w:bCs/>
          <w:spacing w:val="-2"/>
        </w:rPr>
        <w:t xml:space="preserve"> </w:t>
      </w:r>
      <w:r w:rsidRPr="004E7037">
        <w:rPr>
          <w:b/>
          <w:bCs/>
        </w:rPr>
        <w:t>le reste », d’autre part, ce qu’il nous faut appeler les «</w:t>
      </w:r>
      <w:r w:rsidRPr="004E7037">
        <w:rPr>
          <w:b/>
          <w:bCs/>
          <w:spacing w:val="-2"/>
        </w:rPr>
        <w:t xml:space="preserve"> </w:t>
      </w:r>
      <w:r w:rsidRPr="002B22AE">
        <w:rPr>
          <w:b/>
          <w:bCs/>
          <w:color w:val="00B050"/>
        </w:rPr>
        <w:t xml:space="preserve">résidus d’hommes </w:t>
      </w:r>
      <w:r w:rsidRPr="004E7037">
        <w:rPr>
          <w:b/>
          <w:bCs/>
        </w:rPr>
        <w:t>»</w:t>
      </w:r>
      <w:r w:rsidRPr="004E7037">
        <w:rPr>
          <w:b/>
          <w:bCs/>
          <w:spacing w:val="-2"/>
        </w:rPr>
        <w:t xml:space="preserve"> </w:t>
      </w:r>
      <w:r w:rsidRPr="004E7037">
        <w:rPr>
          <w:b/>
          <w:bCs/>
        </w:rPr>
        <w:t>ou encore les « déchets d’hommes ».</w:t>
      </w:r>
    </w:p>
    <w:p w14:paraId="5866B0A4" w14:textId="77777777" w:rsidR="00520D41" w:rsidRPr="004E7037" w:rsidRDefault="00AD0995">
      <w:pPr>
        <w:pStyle w:val="BodyText"/>
        <w:spacing w:before="160" w:line="360" w:lineRule="auto"/>
        <w:ind w:firstLine="362"/>
        <w:rPr>
          <w:b/>
          <w:bCs/>
        </w:rPr>
      </w:pPr>
      <w:r w:rsidRPr="004E7037">
        <w:rPr>
          <w:b/>
          <w:bCs/>
        </w:rPr>
        <w:t xml:space="preserve">Les premiers, les maîtres, étaient les « derniers hommes ». Ils cherchaient à ériger en loi universelle les conditions propices à leur propre survie. Ce qui caractérisait le « dernier homme », c’était sa volonté de dominer et de jouir, de conquérir et de commander, sa </w:t>
      </w:r>
      <w:r w:rsidRPr="001B38E7">
        <w:rPr>
          <w:b/>
          <w:bCs/>
          <w:color w:val="00B050"/>
        </w:rPr>
        <w:t xml:space="preserve">propension </w:t>
      </w:r>
      <w:r w:rsidRPr="004E7037">
        <w:rPr>
          <w:b/>
          <w:bCs/>
        </w:rPr>
        <w:t xml:space="preserve">à déposséder et, </w:t>
      </w:r>
      <w:r w:rsidRPr="001B38E7">
        <w:rPr>
          <w:b/>
          <w:bCs/>
          <w:color w:val="00B0F0"/>
        </w:rPr>
        <w:t>s’il le faut</w:t>
      </w:r>
      <w:r w:rsidRPr="004E7037">
        <w:rPr>
          <w:b/>
          <w:bCs/>
        </w:rPr>
        <w:t xml:space="preserve">, à exterminer. Le « dernier homme » </w:t>
      </w:r>
      <w:r w:rsidRPr="001B38E7">
        <w:rPr>
          <w:b/>
          <w:bCs/>
          <w:color w:val="00B050"/>
        </w:rPr>
        <w:t xml:space="preserve">invoquait </w:t>
      </w:r>
      <w:r w:rsidRPr="004E7037">
        <w:rPr>
          <w:b/>
          <w:bCs/>
        </w:rPr>
        <w:t xml:space="preserve">sans cesse la loi, le droit et la civilisation. Mais il opérait précisément comme s’il n’y avait de loi, de droit et de civilisation que siens. </w:t>
      </w:r>
      <w:r w:rsidRPr="001B38E7">
        <w:rPr>
          <w:b/>
          <w:bCs/>
          <w:color w:val="00B0F0"/>
        </w:rPr>
        <w:t>Cela étant</w:t>
      </w:r>
      <w:r w:rsidRPr="004E7037">
        <w:rPr>
          <w:b/>
          <w:bCs/>
        </w:rPr>
        <w:t>, aucun des crimes qu’il était amené à</w:t>
      </w:r>
      <w:r w:rsidRPr="004E7037">
        <w:rPr>
          <w:b/>
          <w:bCs/>
          <w:spacing w:val="40"/>
        </w:rPr>
        <w:t xml:space="preserve"> </w:t>
      </w:r>
      <w:r w:rsidRPr="004E7037">
        <w:rPr>
          <w:b/>
          <w:bCs/>
        </w:rPr>
        <w:t>commettre ne pouvait être jugé au regard de quelque morale que ce soit. Rien n’appartenait à qui que ce soit d’autre qu’il ne puisse prétendre obtenir pour lui, que ce soit par la force, la ruse ou la tromperie. C’est enfin le poids qu’il accordait à la préservation de soi et la peur</w:t>
      </w:r>
      <w:r w:rsidRPr="004E7037">
        <w:rPr>
          <w:b/>
          <w:bCs/>
          <w:spacing w:val="40"/>
        </w:rPr>
        <w:t xml:space="preserve"> </w:t>
      </w:r>
      <w:r w:rsidRPr="004E7037">
        <w:rPr>
          <w:b/>
          <w:bCs/>
        </w:rPr>
        <w:t>qu’il cultivait à l’égard de toute puissance assez grande pour protéger, de façon autonome, le fruit de son travail et sa vie.</w:t>
      </w:r>
    </w:p>
    <w:p w14:paraId="76936E20" w14:textId="77777777" w:rsidR="00520D41" w:rsidRPr="004E7037" w:rsidRDefault="00AD0995">
      <w:pPr>
        <w:pStyle w:val="BodyText"/>
        <w:spacing w:line="360" w:lineRule="auto"/>
        <w:ind w:right="1" w:firstLine="362"/>
        <w:rPr>
          <w:b/>
          <w:bCs/>
        </w:rPr>
      </w:pPr>
      <w:r w:rsidRPr="004E7037">
        <w:rPr>
          <w:b/>
          <w:bCs/>
        </w:rPr>
        <w:t xml:space="preserve">Incapables de </w:t>
      </w:r>
      <w:r w:rsidRPr="00C64392">
        <w:rPr>
          <w:b/>
          <w:bCs/>
          <w:color w:val="00B0F0"/>
        </w:rPr>
        <w:t>s’engendrer eux-mêmes</w:t>
      </w:r>
      <w:r w:rsidRPr="004E7037">
        <w:rPr>
          <w:b/>
          <w:bCs/>
        </w:rPr>
        <w:t xml:space="preserve">, les autres, les « déchets d’hommes », étaient appelés à se soumettre. Ayant renoncé à la lutte, ils avaient pour rôle de porter le malheur des premiers et de s’en plaindre sans fin. Ils épousaient si bien ce rôle qu’ils finissaient par porter cette interminable </w:t>
      </w:r>
      <w:r w:rsidRPr="001B38E7">
        <w:rPr>
          <w:b/>
          <w:bCs/>
          <w:color w:val="00B050"/>
        </w:rPr>
        <w:t xml:space="preserve">lamentation </w:t>
      </w:r>
      <w:r w:rsidRPr="004E7037">
        <w:rPr>
          <w:b/>
          <w:bCs/>
        </w:rPr>
        <w:t>comme le dernier mot de leur identité. Et, dans la mesure où l’idée d’égalité universelle et d’équivalence entre les hommes (</w:t>
      </w:r>
      <w:r w:rsidRPr="002B22AE">
        <w:rPr>
          <w:b/>
          <w:bCs/>
          <w:color w:val="00B050"/>
        </w:rPr>
        <w:t>dogme des faibles</w:t>
      </w:r>
      <w:r w:rsidRPr="004E7037">
        <w:rPr>
          <w:b/>
          <w:bCs/>
        </w:rPr>
        <w:t xml:space="preserve">) appartenait en vérité à la religion sous forme de </w:t>
      </w:r>
      <w:r w:rsidRPr="001B38E7">
        <w:rPr>
          <w:b/>
          <w:bCs/>
          <w:color w:val="00B050"/>
        </w:rPr>
        <w:t>narcose de la pitié</w:t>
      </w:r>
      <w:r w:rsidRPr="004E7037">
        <w:rPr>
          <w:b/>
          <w:bCs/>
        </w:rPr>
        <w:t>, c’est l’idée même de la morale qui devait être abolie. Elle devait faire place à la foi dans son propre droit – le bon droit qui ne s’autorise pas seulement de la force, mais qui, en outre, se complaît dans l’ignorance et la bonne conscience.</w:t>
      </w:r>
    </w:p>
    <w:p w14:paraId="10F4A6B5" w14:textId="77777777" w:rsidR="00520D41" w:rsidRPr="004E7037" w:rsidRDefault="00AD0995">
      <w:pPr>
        <w:pStyle w:val="BodyText"/>
        <w:spacing w:line="360" w:lineRule="auto"/>
        <w:ind w:right="4" w:firstLine="300"/>
        <w:rPr>
          <w:b/>
          <w:bCs/>
        </w:rPr>
      </w:pPr>
      <w:r w:rsidRPr="004E7037">
        <w:rPr>
          <w:b/>
          <w:bCs/>
        </w:rPr>
        <w:t>Or nous sommes loin d’être sortis de l’ère du bon droit qui s’autorise de la force, de l’ignorance et de la bonne conscience, et dont le colonialisme constitua l’</w:t>
      </w:r>
      <w:r w:rsidRPr="00C64392">
        <w:rPr>
          <w:b/>
          <w:bCs/>
          <w:color w:val="00B050"/>
        </w:rPr>
        <w:t>apogée</w:t>
      </w:r>
      <w:r w:rsidRPr="004E7037">
        <w:rPr>
          <w:b/>
          <w:bCs/>
        </w:rPr>
        <w:t xml:space="preserve">. La nôtre est une ère qui tente de </w:t>
      </w:r>
      <w:r w:rsidRPr="002B22AE">
        <w:rPr>
          <w:b/>
          <w:bCs/>
          <w:color w:val="00B0F0"/>
        </w:rPr>
        <w:t xml:space="preserve">remettre au goût du jour </w:t>
      </w:r>
      <w:r w:rsidRPr="004E7037">
        <w:rPr>
          <w:b/>
          <w:bCs/>
        </w:rPr>
        <w:t>le vieux mythe selon lequel l’Occident a, seul, le monopole du futur.</w:t>
      </w:r>
    </w:p>
    <w:p w14:paraId="14AC2295" w14:textId="77777777" w:rsidR="00520D41" w:rsidRDefault="00AD0995">
      <w:pPr>
        <w:pStyle w:val="BodyText"/>
        <w:spacing w:before="159" w:line="360" w:lineRule="auto"/>
        <w:rPr>
          <w:b/>
          <w:bCs/>
        </w:rPr>
      </w:pPr>
      <w:r w:rsidRPr="004E7037">
        <w:rPr>
          <w:b/>
          <w:bCs/>
        </w:rPr>
        <w:t xml:space="preserve">Achille </w:t>
      </w:r>
      <w:proofErr w:type="spellStart"/>
      <w:r w:rsidRPr="004E7037">
        <w:rPr>
          <w:b/>
          <w:bCs/>
        </w:rPr>
        <w:t>Mbembe</w:t>
      </w:r>
      <w:proofErr w:type="spellEnd"/>
      <w:r w:rsidRPr="004E7037">
        <w:rPr>
          <w:b/>
          <w:bCs/>
        </w:rPr>
        <w:t>, Sortir de la grande nuit. Essai sur l’Afrique décolonisée, 2013, Paris, Éd.</w:t>
      </w:r>
      <w:r w:rsidRPr="004E7037">
        <w:rPr>
          <w:b/>
          <w:bCs/>
          <w:spacing w:val="40"/>
        </w:rPr>
        <w:t xml:space="preserve"> </w:t>
      </w:r>
      <w:r w:rsidRPr="004E7037">
        <w:rPr>
          <w:b/>
          <w:bCs/>
        </w:rPr>
        <w:t>La Découverte, pp. 216-218.</w:t>
      </w:r>
    </w:p>
    <w:p w14:paraId="0E3814F9" w14:textId="77777777" w:rsidR="001B38E7" w:rsidRDefault="001B38E7">
      <w:pPr>
        <w:pStyle w:val="BodyText"/>
        <w:spacing w:before="159" w:line="360" w:lineRule="auto"/>
        <w:rPr>
          <w:b/>
          <w:bCs/>
        </w:rPr>
      </w:pPr>
    </w:p>
    <w:p w14:paraId="668802C3" w14:textId="77777777" w:rsidR="001B38E7" w:rsidRDefault="001B38E7">
      <w:pPr>
        <w:pStyle w:val="BodyText"/>
        <w:spacing w:before="159" w:line="360" w:lineRule="auto"/>
        <w:rPr>
          <w:b/>
          <w:bCs/>
        </w:rPr>
      </w:pPr>
    </w:p>
    <w:p w14:paraId="20C95C1A" w14:textId="30C3DE0D" w:rsidR="001B38E7" w:rsidRPr="003B4EE1" w:rsidRDefault="001B38E7">
      <w:pPr>
        <w:pStyle w:val="BodyText"/>
        <w:spacing w:before="159" w:line="360" w:lineRule="auto"/>
        <w:rPr>
          <w:b/>
          <w:bCs/>
          <w:lang w:bidi="ar-MA"/>
        </w:rPr>
      </w:pPr>
      <w:proofErr w:type="gramStart"/>
      <w:r w:rsidRPr="001B38E7">
        <w:rPr>
          <w:b/>
          <w:bCs/>
          <w:color w:val="00B0F0"/>
        </w:rPr>
        <w:lastRenderedPageBreak/>
        <w:t>ceux</w:t>
      </w:r>
      <w:proofErr w:type="gramEnd"/>
      <w:r w:rsidRPr="001B38E7">
        <w:rPr>
          <w:b/>
          <w:bCs/>
          <w:color w:val="00B0F0"/>
        </w:rPr>
        <w:t xml:space="preserve"> qui comptent et que l’on compte</w:t>
      </w:r>
      <w:proofErr w:type="gramStart"/>
      <w:r>
        <w:rPr>
          <w:b/>
          <w:bCs/>
          <w:color w:val="00B0F0"/>
        </w:rPr>
        <w:t> </w:t>
      </w:r>
      <w:r>
        <w:rPr>
          <w:b/>
          <w:bCs/>
        </w:rPr>
        <w:t>:</w:t>
      </w:r>
      <w:r>
        <w:rPr>
          <w:rFonts w:hint="cs"/>
          <w:b/>
          <w:bCs/>
          <w:rtl/>
          <w:lang w:bidi="ar-MA"/>
        </w:rPr>
        <w:t>يحسب</w:t>
      </w:r>
      <w:proofErr w:type="gramEnd"/>
      <w:r>
        <w:rPr>
          <w:rFonts w:hint="cs"/>
          <w:b/>
          <w:bCs/>
          <w:rtl/>
          <w:lang w:bidi="ar-MA"/>
        </w:rPr>
        <w:t xml:space="preserve"> لهم الف حساب</w:t>
      </w:r>
    </w:p>
    <w:p w14:paraId="265D684D" w14:textId="17F64D41" w:rsidR="001B38E7" w:rsidRDefault="001B38E7">
      <w:pPr>
        <w:pStyle w:val="BodyText"/>
        <w:spacing w:before="159" w:line="360" w:lineRule="auto"/>
        <w:rPr>
          <w:b/>
          <w:bCs/>
          <w:color w:val="00B0F0"/>
        </w:rPr>
      </w:pPr>
      <w:proofErr w:type="gramStart"/>
      <w:r w:rsidRPr="001B38E7">
        <w:rPr>
          <w:b/>
          <w:bCs/>
          <w:color w:val="00B0F0"/>
        </w:rPr>
        <w:t>s’il</w:t>
      </w:r>
      <w:proofErr w:type="gramEnd"/>
      <w:r w:rsidRPr="001B38E7">
        <w:rPr>
          <w:b/>
          <w:bCs/>
          <w:color w:val="00B0F0"/>
        </w:rPr>
        <w:t xml:space="preserve"> le faut</w:t>
      </w:r>
      <w:r w:rsidR="002B22AE">
        <w:rPr>
          <w:rFonts w:hint="cs"/>
          <w:b/>
          <w:bCs/>
          <w:color w:val="00B0F0"/>
          <w:rtl/>
        </w:rPr>
        <w:t xml:space="preserve"> </w:t>
      </w:r>
      <w:r w:rsidR="002B22AE">
        <w:rPr>
          <w:rFonts w:hint="cs"/>
          <w:b/>
          <w:bCs/>
          <w:rtl/>
        </w:rPr>
        <w:t xml:space="preserve">اذا لزم الامر : </w:t>
      </w:r>
      <w:r w:rsidR="002B22AE">
        <w:rPr>
          <w:b/>
          <w:bCs/>
          <w:color w:val="00B0F0"/>
        </w:rPr>
        <w:t> </w:t>
      </w:r>
    </w:p>
    <w:p w14:paraId="64802043" w14:textId="62991085" w:rsidR="002B22AE" w:rsidRPr="003B4EE1" w:rsidRDefault="002B22AE" w:rsidP="002B22AE">
      <w:pPr>
        <w:pStyle w:val="BodyText"/>
        <w:spacing w:before="159" w:line="360" w:lineRule="auto"/>
        <w:rPr>
          <w:b/>
          <w:bCs/>
          <w:lang w:bidi="ar-MA"/>
        </w:rPr>
      </w:pPr>
      <w:r w:rsidRPr="001B38E7">
        <w:rPr>
          <w:b/>
          <w:bCs/>
          <w:color w:val="00B0F0"/>
        </w:rPr>
        <w:t>Cela étant</w:t>
      </w:r>
      <w:r>
        <w:rPr>
          <w:b/>
          <w:bCs/>
          <w:color w:val="00B0F0"/>
        </w:rPr>
        <w:t> </w:t>
      </w:r>
      <w:r>
        <w:rPr>
          <w:b/>
          <w:bCs/>
        </w:rPr>
        <w:t xml:space="preserve">: </w:t>
      </w:r>
      <w:r>
        <w:rPr>
          <w:rFonts w:hint="cs"/>
          <w:b/>
          <w:bCs/>
          <w:rtl/>
        </w:rPr>
        <w:t>و</w:t>
      </w:r>
      <w:r w:rsidR="002B6E33">
        <w:rPr>
          <w:rFonts w:hint="cs"/>
          <w:b/>
          <w:bCs/>
          <w:rtl/>
          <w:lang w:bidi="ar-MA"/>
        </w:rPr>
        <w:t>عليه</w:t>
      </w:r>
    </w:p>
    <w:p w14:paraId="5D08E7DC" w14:textId="2EDC2EE9" w:rsidR="001B38E7" w:rsidRDefault="002B22AE" w:rsidP="002B22AE">
      <w:pPr>
        <w:pStyle w:val="BodyText"/>
        <w:spacing w:before="159" w:line="360" w:lineRule="auto"/>
        <w:rPr>
          <w:b/>
          <w:bCs/>
          <w:rtl/>
          <w:lang w:bidi="ar-MA"/>
        </w:rPr>
      </w:pPr>
      <w:proofErr w:type="gramStart"/>
      <w:r w:rsidRPr="002B22AE">
        <w:rPr>
          <w:b/>
          <w:bCs/>
          <w:color w:val="00B0F0"/>
        </w:rPr>
        <w:t>remettre</w:t>
      </w:r>
      <w:proofErr w:type="gramEnd"/>
      <w:r w:rsidRPr="002B22AE">
        <w:rPr>
          <w:b/>
          <w:bCs/>
          <w:color w:val="00B0F0"/>
        </w:rPr>
        <w:t xml:space="preserve"> au goût du jour</w:t>
      </w:r>
      <w:r>
        <w:rPr>
          <w:b/>
          <w:bCs/>
          <w:color w:val="00B0F0"/>
        </w:rPr>
        <w:t xml:space="preserve"> : </w:t>
      </w:r>
      <w:r>
        <w:rPr>
          <w:rFonts w:hint="cs"/>
          <w:b/>
          <w:bCs/>
          <w:rtl/>
          <w:lang w:bidi="ar-MA"/>
        </w:rPr>
        <w:t>جعله مواكبا للعصر</w:t>
      </w:r>
    </w:p>
    <w:p w14:paraId="121F3B04" w14:textId="606A007F" w:rsidR="00C64392" w:rsidRDefault="00C64392" w:rsidP="002B22AE">
      <w:pPr>
        <w:pStyle w:val="BodyText"/>
        <w:spacing w:before="159" w:line="360" w:lineRule="auto"/>
        <w:rPr>
          <w:b/>
          <w:bCs/>
          <w:lang w:bidi="ar-MA"/>
        </w:rPr>
      </w:pPr>
      <w:proofErr w:type="gramStart"/>
      <w:r w:rsidRPr="00C64392">
        <w:rPr>
          <w:b/>
          <w:bCs/>
          <w:color w:val="00B0F0"/>
        </w:rPr>
        <w:t>s’engendrer</w:t>
      </w:r>
      <w:proofErr w:type="gramEnd"/>
      <w:r w:rsidRPr="00C64392">
        <w:rPr>
          <w:b/>
          <w:bCs/>
          <w:color w:val="00B0F0"/>
        </w:rPr>
        <w:t xml:space="preserve"> eux-mêmes</w:t>
      </w:r>
      <w:r>
        <w:rPr>
          <w:rFonts w:hint="cs"/>
          <w:b/>
          <w:bCs/>
          <w:color w:val="00B0F0"/>
          <w:rtl/>
        </w:rPr>
        <w:t xml:space="preserve">         </w:t>
      </w:r>
      <w:r>
        <w:rPr>
          <w:rFonts w:hint="cs"/>
          <w:b/>
          <w:bCs/>
          <w:rtl/>
        </w:rPr>
        <w:t xml:space="preserve">اثبات </w:t>
      </w:r>
      <w:proofErr w:type="gramStart"/>
      <w:r>
        <w:rPr>
          <w:rFonts w:hint="cs"/>
          <w:b/>
          <w:bCs/>
          <w:rtl/>
        </w:rPr>
        <w:t>ذاتهم</w:t>
      </w:r>
      <w:r>
        <w:rPr>
          <w:rFonts w:hint="cs"/>
          <w:b/>
          <w:bCs/>
          <w:color w:val="00B0F0"/>
          <w:rtl/>
        </w:rPr>
        <w:t xml:space="preserve">  :</w:t>
      </w:r>
      <w:proofErr w:type="gramEnd"/>
      <w:r>
        <w:rPr>
          <w:rFonts w:hint="cs"/>
          <w:b/>
          <w:bCs/>
          <w:color w:val="00B0F0"/>
          <w:rtl/>
        </w:rPr>
        <w:t xml:space="preserve"> </w:t>
      </w:r>
    </w:p>
    <w:p w14:paraId="5CEF1DE8" w14:textId="1448287E" w:rsidR="002B22AE" w:rsidRPr="002B22AE" w:rsidRDefault="002B22AE" w:rsidP="002B22AE">
      <w:pPr>
        <w:pStyle w:val="BodyText"/>
        <w:spacing w:before="159" w:line="360" w:lineRule="auto"/>
        <w:rPr>
          <w:b/>
          <w:bCs/>
          <w:lang w:bidi="ar-MA"/>
        </w:rPr>
      </w:pPr>
      <w:proofErr w:type="gramStart"/>
      <w:r w:rsidRPr="004E7037">
        <w:rPr>
          <w:b/>
          <w:bCs/>
          <w:color w:val="00B050"/>
        </w:rPr>
        <w:t>ambivalence</w:t>
      </w:r>
      <w:proofErr w:type="gramEnd"/>
      <w:r>
        <w:rPr>
          <w:b/>
          <w:bCs/>
          <w:color w:val="00B050"/>
        </w:rPr>
        <w:t xml:space="preserve"> : </w:t>
      </w:r>
      <w:r>
        <w:rPr>
          <w:rFonts w:hint="cs"/>
          <w:b/>
          <w:bCs/>
          <w:rtl/>
          <w:lang w:bidi="ar-MA"/>
        </w:rPr>
        <w:t>تناقض</w:t>
      </w:r>
      <w:r>
        <w:rPr>
          <w:b/>
          <w:bCs/>
          <w:lang w:bidi="ar-MA"/>
        </w:rPr>
        <w:t>/</w:t>
      </w:r>
      <w:r>
        <w:rPr>
          <w:rFonts w:hint="cs"/>
          <w:b/>
          <w:bCs/>
          <w:rtl/>
          <w:lang w:bidi="ar-MA"/>
        </w:rPr>
        <w:t xml:space="preserve"> ازدواجية</w:t>
      </w:r>
    </w:p>
    <w:p w14:paraId="3D6D7876" w14:textId="040F93FF" w:rsidR="002B22AE" w:rsidRDefault="002B22AE" w:rsidP="002B22AE">
      <w:pPr>
        <w:pStyle w:val="BodyText"/>
        <w:spacing w:before="159" w:line="360" w:lineRule="auto"/>
        <w:rPr>
          <w:rtl/>
          <w:lang w:val="en-US" w:bidi="ar-MA"/>
        </w:rPr>
      </w:pPr>
      <w:proofErr w:type="gramStart"/>
      <w:r w:rsidRPr="003B4EE1">
        <w:rPr>
          <w:b/>
          <w:bCs/>
          <w:color w:val="00B050"/>
          <w:lang w:bidi="ar-MA"/>
        </w:rPr>
        <w:t>trier</w:t>
      </w:r>
      <w:proofErr w:type="gramEnd"/>
      <w:r w:rsidRPr="003B4EE1">
        <w:rPr>
          <w:b/>
          <w:bCs/>
          <w:color w:val="00B050"/>
          <w:lang w:bidi="ar-MA"/>
        </w:rPr>
        <w:t xml:space="preserve"> </w:t>
      </w:r>
      <w:r w:rsidRPr="003B4EE1">
        <w:rPr>
          <w:b/>
          <w:bCs/>
          <w:lang w:bidi="ar-MA"/>
        </w:rPr>
        <w:t>:</w:t>
      </w:r>
      <w:r w:rsidRPr="003B4EE1">
        <w:rPr>
          <w:lang w:bidi="ar-MA"/>
        </w:rPr>
        <w:t xml:space="preserve"> </w:t>
      </w:r>
      <w:r w:rsidRPr="002B22AE">
        <w:rPr>
          <w:rFonts w:hint="cs"/>
          <w:b/>
          <w:bCs/>
          <w:rtl/>
          <w:lang w:val="en-US" w:bidi="ar-MA"/>
        </w:rPr>
        <w:t>فرز</w:t>
      </w:r>
    </w:p>
    <w:p w14:paraId="15C77876" w14:textId="2AFA690A" w:rsidR="002B22AE" w:rsidRDefault="002B22AE" w:rsidP="002B22AE">
      <w:pPr>
        <w:pStyle w:val="BodyText"/>
        <w:spacing w:before="159" w:line="360" w:lineRule="auto"/>
        <w:rPr>
          <w:b/>
          <w:bCs/>
          <w:rtl/>
          <w:lang w:bidi="ar-MA"/>
        </w:rPr>
      </w:pPr>
      <w:proofErr w:type="gramStart"/>
      <w:r w:rsidRPr="002B22AE">
        <w:rPr>
          <w:b/>
          <w:bCs/>
          <w:color w:val="00B050"/>
        </w:rPr>
        <w:t>résidus</w:t>
      </w:r>
      <w:proofErr w:type="gramEnd"/>
      <w:r w:rsidRPr="002B22AE">
        <w:rPr>
          <w:b/>
          <w:bCs/>
          <w:color w:val="00B050"/>
        </w:rPr>
        <w:t xml:space="preserve"> d’hommes</w:t>
      </w:r>
      <w:r>
        <w:rPr>
          <w:b/>
          <w:bCs/>
          <w:color w:val="00B050"/>
        </w:rPr>
        <w:t xml:space="preserve"> : </w:t>
      </w:r>
      <w:r>
        <w:rPr>
          <w:rFonts w:hint="cs"/>
          <w:b/>
          <w:bCs/>
          <w:rtl/>
          <w:lang w:bidi="ar-MA"/>
        </w:rPr>
        <w:t>حثالة البشر</w:t>
      </w:r>
    </w:p>
    <w:p w14:paraId="04C6C3FB" w14:textId="1B8CB420" w:rsidR="002B22AE" w:rsidRPr="002B22AE" w:rsidRDefault="002B22AE" w:rsidP="002B22AE">
      <w:pPr>
        <w:pStyle w:val="BodyText"/>
        <w:spacing w:before="159" w:line="360" w:lineRule="auto"/>
        <w:rPr>
          <w:b/>
          <w:bCs/>
          <w:rtl/>
        </w:rPr>
      </w:pPr>
      <w:proofErr w:type="gramStart"/>
      <w:r w:rsidRPr="001B38E7">
        <w:rPr>
          <w:b/>
          <w:bCs/>
          <w:color w:val="00B050"/>
        </w:rPr>
        <w:t>propension</w:t>
      </w:r>
      <w:proofErr w:type="gramEnd"/>
      <w:r w:rsidR="00C64392">
        <w:rPr>
          <w:rFonts w:hint="cs"/>
          <w:b/>
          <w:bCs/>
          <w:color w:val="00B050"/>
          <w:rtl/>
        </w:rPr>
        <w:t xml:space="preserve"> </w:t>
      </w:r>
      <w:r w:rsidR="00C64392" w:rsidRPr="00C64392">
        <w:rPr>
          <w:rFonts w:hint="cs"/>
          <w:b/>
          <w:bCs/>
          <w:color w:val="000000" w:themeColor="text1"/>
          <w:rtl/>
        </w:rPr>
        <w:t xml:space="preserve">نزوع </w:t>
      </w:r>
      <w:r>
        <w:rPr>
          <w:rFonts w:hint="cs"/>
          <w:b/>
          <w:bCs/>
          <w:color w:val="00B050"/>
          <w:rtl/>
        </w:rPr>
        <w:t xml:space="preserve">: </w:t>
      </w:r>
    </w:p>
    <w:p w14:paraId="307BF5AE" w14:textId="0BAAB0AC" w:rsidR="002B22AE" w:rsidRDefault="002B22AE" w:rsidP="002B22AE">
      <w:pPr>
        <w:pStyle w:val="BodyText"/>
        <w:spacing w:before="159" w:line="360" w:lineRule="auto"/>
        <w:rPr>
          <w:b/>
          <w:bCs/>
          <w:color w:val="00B050"/>
          <w:rtl/>
        </w:rPr>
      </w:pPr>
      <w:proofErr w:type="gramStart"/>
      <w:r w:rsidRPr="001B38E7">
        <w:rPr>
          <w:b/>
          <w:bCs/>
          <w:color w:val="00B050"/>
        </w:rPr>
        <w:t>invoquait</w:t>
      </w:r>
      <w:proofErr w:type="gramEnd"/>
      <w:r>
        <w:rPr>
          <w:rFonts w:hint="cs"/>
          <w:b/>
          <w:bCs/>
          <w:color w:val="00B050"/>
          <w:rtl/>
        </w:rPr>
        <w:t xml:space="preserve"> </w:t>
      </w:r>
      <w:r w:rsidR="00C64392" w:rsidRPr="00C64392">
        <w:rPr>
          <w:rFonts w:hint="cs"/>
          <w:b/>
          <w:bCs/>
          <w:color w:val="000000" w:themeColor="text1"/>
          <w:rtl/>
        </w:rPr>
        <w:t xml:space="preserve">يتذرع </w:t>
      </w:r>
      <w:r>
        <w:rPr>
          <w:rFonts w:hint="cs"/>
          <w:b/>
          <w:bCs/>
          <w:color w:val="00B050"/>
          <w:rtl/>
        </w:rPr>
        <w:t xml:space="preserve">: </w:t>
      </w:r>
    </w:p>
    <w:p w14:paraId="29D3A209" w14:textId="5369D730" w:rsidR="002B22AE" w:rsidRDefault="002B22AE" w:rsidP="002B22AE">
      <w:pPr>
        <w:pStyle w:val="BodyText"/>
        <w:spacing w:before="159" w:line="360" w:lineRule="auto"/>
        <w:rPr>
          <w:b/>
          <w:bCs/>
          <w:color w:val="00B050"/>
          <w:rtl/>
        </w:rPr>
      </w:pPr>
      <w:r w:rsidRPr="001B38E7">
        <w:rPr>
          <w:b/>
          <w:bCs/>
          <w:color w:val="00B050"/>
        </w:rPr>
        <w:t>Lamentation</w:t>
      </w:r>
      <w:r w:rsidR="00C64392" w:rsidRPr="00C64392">
        <w:rPr>
          <w:rFonts w:hint="cs"/>
          <w:b/>
          <w:bCs/>
          <w:color w:val="000000" w:themeColor="text1"/>
          <w:rtl/>
        </w:rPr>
        <w:t>الرثاء</w:t>
      </w:r>
      <w:r>
        <w:rPr>
          <w:rFonts w:hint="cs"/>
          <w:b/>
          <w:bCs/>
          <w:color w:val="00B050"/>
          <w:rtl/>
        </w:rPr>
        <w:t xml:space="preserve"> : </w:t>
      </w:r>
    </w:p>
    <w:p w14:paraId="0D7E4B8B" w14:textId="4DFCFEA4" w:rsidR="002B22AE" w:rsidRDefault="002B22AE" w:rsidP="002B22AE">
      <w:pPr>
        <w:pStyle w:val="BodyText"/>
        <w:spacing w:before="159" w:line="360" w:lineRule="auto"/>
        <w:rPr>
          <w:b/>
          <w:bCs/>
          <w:color w:val="00B050"/>
          <w:rtl/>
        </w:rPr>
      </w:pPr>
      <w:proofErr w:type="gramStart"/>
      <w:r w:rsidRPr="002B22AE">
        <w:rPr>
          <w:b/>
          <w:bCs/>
          <w:color w:val="00B050"/>
        </w:rPr>
        <w:t>dogme</w:t>
      </w:r>
      <w:proofErr w:type="gramEnd"/>
      <w:r w:rsidRPr="002B22AE">
        <w:rPr>
          <w:b/>
          <w:bCs/>
          <w:color w:val="00B050"/>
        </w:rPr>
        <w:t xml:space="preserve"> des </w:t>
      </w:r>
      <w:proofErr w:type="gramStart"/>
      <w:r w:rsidRPr="002B22AE">
        <w:rPr>
          <w:b/>
          <w:bCs/>
          <w:color w:val="00B050"/>
        </w:rPr>
        <w:t>faibles</w:t>
      </w:r>
      <w:r w:rsidR="00C64392">
        <w:rPr>
          <w:rFonts w:hint="cs"/>
          <w:b/>
          <w:bCs/>
          <w:color w:val="00B050"/>
          <w:rtl/>
        </w:rPr>
        <w:t xml:space="preserve">  </w:t>
      </w:r>
      <w:r w:rsidR="00C64392" w:rsidRPr="00C64392">
        <w:rPr>
          <w:rFonts w:hint="cs"/>
          <w:b/>
          <w:bCs/>
          <w:color w:val="000000" w:themeColor="text1"/>
          <w:rtl/>
        </w:rPr>
        <w:t>عقيدة</w:t>
      </w:r>
      <w:proofErr w:type="gramEnd"/>
      <w:r w:rsidR="00C64392" w:rsidRPr="00C64392">
        <w:rPr>
          <w:rFonts w:hint="cs"/>
          <w:b/>
          <w:bCs/>
          <w:color w:val="000000" w:themeColor="text1"/>
          <w:rtl/>
        </w:rPr>
        <w:t xml:space="preserve"> الضعفاء </w:t>
      </w:r>
      <w:r>
        <w:rPr>
          <w:rFonts w:hint="cs"/>
          <w:b/>
          <w:bCs/>
          <w:color w:val="00B050"/>
          <w:rtl/>
        </w:rPr>
        <w:t xml:space="preserve">: </w:t>
      </w:r>
    </w:p>
    <w:p w14:paraId="3CAF3A6A" w14:textId="099A201D" w:rsidR="002B22AE" w:rsidRDefault="002B22AE" w:rsidP="002B22AE">
      <w:pPr>
        <w:pStyle w:val="BodyText"/>
        <w:spacing w:before="159" w:line="360" w:lineRule="auto"/>
        <w:rPr>
          <w:b/>
          <w:bCs/>
          <w:color w:val="00B050"/>
          <w:rtl/>
        </w:rPr>
      </w:pPr>
      <w:proofErr w:type="gramStart"/>
      <w:r w:rsidRPr="001B38E7">
        <w:rPr>
          <w:b/>
          <w:bCs/>
          <w:color w:val="00B050"/>
        </w:rPr>
        <w:t>narcose</w:t>
      </w:r>
      <w:proofErr w:type="gramEnd"/>
      <w:r w:rsidRPr="001B38E7">
        <w:rPr>
          <w:b/>
          <w:bCs/>
          <w:color w:val="00B050"/>
        </w:rPr>
        <w:t xml:space="preserve"> de la pitié</w:t>
      </w:r>
      <w:r>
        <w:rPr>
          <w:rFonts w:hint="cs"/>
          <w:b/>
          <w:bCs/>
          <w:color w:val="00B050"/>
          <w:rtl/>
        </w:rPr>
        <w:t xml:space="preserve"> </w:t>
      </w:r>
      <w:r w:rsidR="00C64392" w:rsidRPr="00C64392">
        <w:rPr>
          <w:rFonts w:hint="cs"/>
          <w:b/>
          <w:bCs/>
          <w:color w:val="000000" w:themeColor="text1"/>
          <w:rtl/>
        </w:rPr>
        <w:t xml:space="preserve">خدر الشفقة </w:t>
      </w:r>
      <w:r>
        <w:rPr>
          <w:rFonts w:hint="cs"/>
          <w:b/>
          <w:bCs/>
          <w:color w:val="00B050"/>
          <w:rtl/>
        </w:rPr>
        <w:t xml:space="preserve">: </w:t>
      </w:r>
    </w:p>
    <w:p w14:paraId="640E6B89" w14:textId="2D85C4B1" w:rsidR="00C64392" w:rsidRDefault="00C64392" w:rsidP="0033747E">
      <w:pPr>
        <w:pStyle w:val="BodyText"/>
        <w:spacing w:before="159" w:line="360" w:lineRule="auto"/>
        <w:rPr>
          <w:b/>
          <w:bCs/>
          <w:color w:val="000000" w:themeColor="text1"/>
          <w:lang w:bidi="ar-MA"/>
        </w:rPr>
      </w:pPr>
      <w:proofErr w:type="gramStart"/>
      <w:r w:rsidRPr="00C64392">
        <w:rPr>
          <w:b/>
          <w:bCs/>
          <w:color w:val="00B050"/>
        </w:rPr>
        <w:t>apogée</w:t>
      </w:r>
      <w:proofErr w:type="gramEnd"/>
      <w:r w:rsidR="0033747E">
        <w:rPr>
          <w:b/>
          <w:bCs/>
          <w:color w:val="00B050"/>
        </w:rPr>
        <w:t xml:space="preserve"> : </w:t>
      </w:r>
      <w:r w:rsidR="0033747E" w:rsidRPr="0033747E">
        <w:rPr>
          <w:rFonts w:hint="cs"/>
          <w:b/>
          <w:bCs/>
          <w:color w:val="000000" w:themeColor="text1"/>
          <w:rtl/>
          <w:lang w:bidi="ar-MA"/>
        </w:rPr>
        <w:t>أوج</w:t>
      </w:r>
    </w:p>
    <w:p w14:paraId="0A838FF7" w14:textId="77777777" w:rsidR="0033747E" w:rsidRDefault="0033747E" w:rsidP="0033747E">
      <w:pPr>
        <w:pStyle w:val="BodyText"/>
        <w:spacing w:before="159" w:line="360" w:lineRule="auto"/>
        <w:rPr>
          <w:lang w:val="en-US" w:bidi="ar-MA"/>
        </w:rPr>
      </w:pPr>
    </w:p>
    <w:p w14:paraId="6DED9ECA" w14:textId="77777777" w:rsidR="0033747E" w:rsidRDefault="0033747E" w:rsidP="0033747E">
      <w:pPr>
        <w:pStyle w:val="BodyText"/>
        <w:spacing w:before="159" w:line="360" w:lineRule="auto"/>
        <w:rPr>
          <w:lang w:val="en-US" w:bidi="ar-MA"/>
        </w:rPr>
      </w:pPr>
    </w:p>
    <w:p w14:paraId="024E0DE7" w14:textId="77777777" w:rsidR="0033747E" w:rsidRDefault="0033747E" w:rsidP="0033747E">
      <w:pPr>
        <w:pStyle w:val="BodyText"/>
        <w:spacing w:before="159" w:line="360" w:lineRule="auto"/>
        <w:rPr>
          <w:lang w:val="en-US" w:bidi="ar-MA"/>
        </w:rPr>
      </w:pPr>
    </w:p>
    <w:p w14:paraId="22F73915" w14:textId="77777777" w:rsidR="0033747E" w:rsidRDefault="0033747E" w:rsidP="0033747E">
      <w:pPr>
        <w:pStyle w:val="BodyText"/>
        <w:spacing w:before="159" w:line="360" w:lineRule="auto"/>
        <w:rPr>
          <w:lang w:val="en-US" w:bidi="ar-MA"/>
        </w:rPr>
      </w:pPr>
    </w:p>
    <w:p w14:paraId="4F12DFA3" w14:textId="77777777" w:rsidR="0033747E" w:rsidRDefault="0033747E" w:rsidP="0033747E">
      <w:pPr>
        <w:pStyle w:val="BodyText"/>
        <w:spacing w:before="159" w:line="360" w:lineRule="auto"/>
        <w:rPr>
          <w:lang w:val="en-US" w:bidi="ar-MA"/>
        </w:rPr>
      </w:pPr>
    </w:p>
    <w:p w14:paraId="6645C06F" w14:textId="77777777" w:rsidR="0033747E" w:rsidRDefault="0033747E" w:rsidP="0033747E">
      <w:pPr>
        <w:pStyle w:val="BodyText"/>
        <w:spacing w:before="159" w:line="360" w:lineRule="auto"/>
        <w:rPr>
          <w:lang w:val="en-US" w:bidi="ar-MA"/>
        </w:rPr>
      </w:pPr>
    </w:p>
    <w:p w14:paraId="62D7105B" w14:textId="77777777" w:rsidR="0033747E" w:rsidRDefault="0033747E" w:rsidP="0033747E">
      <w:pPr>
        <w:pStyle w:val="BodyText"/>
        <w:spacing w:before="159" w:line="360" w:lineRule="auto"/>
        <w:rPr>
          <w:lang w:val="en-US" w:bidi="ar-MA"/>
        </w:rPr>
      </w:pPr>
    </w:p>
    <w:p w14:paraId="3734BEF2" w14:textId="77777777" w:rsidR="0033747E" w:rsidRDefault="0033747E" w:rsidP="0033747E">
      <w:pPr>
        <w:pStyle w:val="BodyText"/>
        <w:spacing w:before="159" w:line="360" w:lineRule="auto"/>
        <w:rPr>
          <w:lang w:val="en-US" w:bidi="ar-MA"/>
        </w:rPr>
      </w:pPr>
    </w:p>
    <w:p w14:paraId="521DE7DA" w14:textId="77777777" w:rsidR="0033747E" w:rsidRDefault="0033747E" w:rsidP="0033747E">
      <w:pPr>
        <w:pStyle w:val="BodyText"/>
        <w:spacing w:before="159" w:line="360" w:lineRule="auto"/>
        <w:rPr>
          <w:lang w:val="en-US" w:bidi="ar-MA"/>
        </w:rPr>
      </w:pPr>
    </w:p>
    <w:p w14:paraId="23CACA64" w14:textId="77777777" w:rsidR="0033747E" w:rsidRDefault="0033747E" w:rsidP="0033747E">
      <w:pPr>
        <w:pStyle w:val="BodyText"/>
        <w:spacing w:before="159" w:line="360" w:lineRule="auto"/>
        <w:rPr>
          <w:lang w:val="en-US" w:bidi="ar-MA"/>
        </w:rPr>
      </w:pPr>
    </w:p>
    <w:p w14:paraId="18ED8DBC" w14:textId="77777777" w:rsidR="0033747E" w:rsidRDefault="0033747E" w:rsidP="0033747E">
      <w:pPr>
        <w:pStyle w:val="BodyText"/>
        <w:spacing w:before="159" w:line="360" w:lineRule="auto"/>
        <w:rPr>
          <w:lang w:val="en-US" w:bidi="ar-MA"/>
        </w:rPr>
      </w:pPr>
    </w:p>
    <w:p w14:paraId="300DBD5D" w14:textId="77777777" w:rsidR="0033747E" w:rsidRDefault="0033747E" w:rsidP="0033747E">
      <w:pPr>
        <w:pStyle w:val="BodyText"/>
        <w:spacing w:before="159" w:line="360" w:lineRule="auto"/>
        <w:rPr>
          <w:lang w:val="en-US" w:bidi="ar-MA"/>
        </w:rPr>
      </w:pPr>
    </w:p>
    <w:p w14:paraId="4CCC5B0B" w14:textId="77777777" w:rsidR="0033747E" w:rsidRDefault="0033747E" w:rsidP="0033747E">
      <w:pPr>
        <w:pStyle w:val="BodyText"/>
        <w:spacing w:before="159" w:line="360" w:lineRule="auto"/>
        <w:rPr>
          <w:lang w:val="en-US" w:bidi="ar-MA"/>
        </w:rPr>
      </w:pPr>
    </w:p>
    <w:p w14:paraId="26803E55" w14:textId="77777777" w:rsidR="0033747E" w:rsidRDefault="0033747E" w:rsidP="0033747E">
      <w:pPr>
        <w:pStyle w:val="BodyText"/>
        <w:spacing w:before="159" w:line="360" w:lineRule="auto"/>
        <w:rPr>
          <w:lang w:val="en-US" w:bidi="ar-MA"/>
        </w:rPr>
      </w:pPr>
    </w:p>
    <w:p w14:paraId="34DCA32F" w14:textId="6AB0C7DF" w:rsidR="0033747E" w:rsidRDefault="0033747E" w:rsidP="0033747E">
      <w:pPr>
        <w:pStyle w:val="BodyText"/>
        <w:bidi/>
        <w:spacing w:before="159" w:line="360" w:lineRule="auto"/>
        <w:jc w:val="center"/>
        <w:rPr>
          <w:b/>
          <w:bCs/>
          <w:color w:val="000000" w:themeColor="text1"/>
          <w:lang w:val="en-US" w:bidi="ar-MA"/>
        </w:rPr>
      </w:pPr>
      <w:r w:rsidRPr="0033747E">
        <w:rPr>
          <w:b/>
          <w:bCs/>
          <w:color w:val="000000" w:themeColor="text1"/>
          <w:rtl/>
          <w:lang w:val="en-US"/>
        </w:rPr>
        <w:lastRenderedPageBreak/>
        <w:t xml:space="preserve">الرجال </w:t>
      </w:r>
      <w:r>
        <w:rPr>
          <w:rFonts w:hint="cs"/>
          <w:b/>
          <w:bCs/>
          <w:color w:val="000000" w:themeColor="text1"/>
          <w:rtl/>
          <w:lang w:val="en-US" w:bidi="ar-MA"/>
        </w:rPr>
        <w:t>الاواخر</w:t>
      </w:r>
      <w:r>
        <w:rPr>
          <w:b/>
          <w:bCs/>
          <w:color w:val="000000" w:themeColor="text1"/>
          <w:lang w:val="en-US" w:bidi="ar-MA"/>
        </w:rPr>
        <w:t>.</w:t>
      </w:r>
    </w:p>
    <w:p w14:paraId="7CA1D297" w14:textId="4BE22C7B" w:rsidR="0033747E" w:rsidRPr="0033747E" w:rsidRDefault="0033747E" w:rsidP="0033747E">
      <w:pPr>
        <w:pStyle w:val="BodyText"/>
        <w:bidi/>
        <w:spacing w:before="159" w:line="360" w:lineRule="auto"/>
        <w:rPr>
          <w:b/>
          <w:bCs/>
          <w:color w:val="000000" w:themeColor="text1"/>
          <w:lang w:val="en-US"/>
        </w:rPr>
      </w:pPr>
      <w:r w:rsidRPr="0033747E">
        <w:rPr>
          <w:b/>
          <w:bCs/>
          <w:color w:val="000000" w:themeColor="text1"/>
          <w:rtl/>
          <w:lang w:val="en-US"/>
        </w:rPr>
        <w:t xml:space="preserve">بعيداً عن </w:t>
      </w:r>
      <w:r w:rsidRPr="0033747E">
        <w:rPr>
          <w:b/>
          <w:bCs/>
          <w:color w:val="00B050"/>
          <w:rtl/>
          <w:lang w:val="en-US"/>
        </w:rPr>
        <w:t xml:space="preserve">ازدواجيته </w:t>
      </w:r>
      <w:r w:rsidRPr="0033747E">
        <w:rPr>
          <w:b/>
          <w:bCs/>
          <w:color w:val="000000" w:themeColor="text1"/>
          <w:rtl/>
          <w:lang w:val="en-US"/>
        </w:rPr>
        <w:t xml:space="preserve">(أو تناقضه)، وبغض النظر عن التنوع الهائل لأشكاله ومضامينه، كان الاستعمار الحديث أحد النتائج المباشرة </w:t>
      </w:r>
      <w:r w:rsidRPr="0033747E">
        <w:rPr>
          <w:b/>
          <w:bCs/>
          <w:color w:val="00B050"/>
          <w:rtl/>
          <w:lang w:val="en-US"/>
        </w:rPr>
        <w:t>لل</w:t>
      </w:r>
      <w:r w:rsidR="002B6E33" w:rsidRPr="002B6E33">
        <w:rPr>
          <w:rFonts w:hint="cs"/>
          <w:b/>
          <w:bCs/>
          <w:color w:val="00B050"/>
          <w:rtl/>
          <w:lang w:val="en-US"/>
        </w:rPr>
        <w:t>مذاهب</w:t>
      </w:r>
      <w:r w:rsidRPr="0033747E">
        <w:rPr>
          <w:b/>
          <w:bCs/>
          <w:color w:val="000000" w:themeColor="text1"/>
          <w:rtl/>
          <w:lang w:val="en-US"/>
        </w:rPr>
        <w:t xml:space="preserve"> التي قامت على </w:t>
      </w:r>
      <w:r w:rsidRPr="0033747E">
        <w:rPr>
          <w:b/>
          <w:bCs/>
          <w:color w:val="00B050"/>
          <w:rtl/>
          <w:lang w:val="en-US"/>
        </w:rPr>
        <w:t>فرز</w:t>
      </w:r>
      <w:r w:rsidRPr="0033747E">
        <w:rPr>
          <w:b/>
          <w:bCs/>
          <w:color w:val="000000" w:themeColor="text1"/>
          <w:rtl/>
          <w:lang w:val="en-US"/>
        </w:rPr>
        <w:t xml:space="preserve"> البشر وتقسيمهم إلى مجموعتين: أولئك الذين يُعتد بهم والذين يُحصَون من جهة، و"البقية" من جهة أخرى، أو ما يجب أن نسميه "بقايا البشر" أو "نفايات البشر</w:t>
      </w:r>
      <w:r w:rsidRPr="0033747E">
        <w:rPr>
          <w:b/>
          <w:bCs/>
          <w:color w:val="000000" w:themeColor="text1"/>
          <w:lang w:val="en-US"/>
        </w:rPr>
        <w:t>".</w:t>
      </w:r>
    </w:p>
    <w:p w14:paraId="35A38AB7" w14:textId="77777777" w:rsidR="00AD0995" w:rsidRDefault="0033747E" w:rsidP="00AD0995">
      <w:pPr>
        <w:pStyle w:val="BodyText"/>
        <w:bidi/>
        <w:spacing w:before="159" w:line="360" w:lineRule="auto"/>
        <w:rPr>
          <w:b/>
          <w:bCs/>
          <w:color w:val="000000" w:themeColor="text1"/>
          <w:lang w:val="en-US"/>
        </w:rPr>
      </w:pPr>
      <w:r w:rsidRPr="0033747E">
        <w:rPr>
          <w:b/>
          <w:bCs/>
          <w:color w:val="000000" w:themeColor="text1"/>
          <w:rtl/>
          <w:lang w:val="en-US"/>
        </w:rPr>
        <w:t xml:space="preserve">كان الأوائل، </w:t>
      </w:r>
      <w:proofErr w:type="gramStart"/>
      <w:r w:rsidRPr="0033747E">
        <w:rPr>
          <w:b/>
          <w:bCs/>
          <w:color w:val="000000" w:themeColor="text1"/>
          <w:rtl/>
          <w:lang w:val="en-US"/>
        </w:rPr>
        <w:t>الأسياد</w:t>
      </w:r>
      <w:proofErr w:type="gramEnd"/>
      <w:r w:rsidRPr="0033747E">
        <w:rPr>
          <w:b/>
          <w:bCs/>
          <w:color w:val="000000" w:themeColor="text1"/>
          <w:rtl/>
          <w:lang w:val="en-US"/>
        </w:rPr>
        <w:t xml:space="preserve">، هم "الرجال </w:t>
      </w:r>
      <w:r>
        <w:rPr>
          <w:rFonts w:hint="cs"/>
          <w:b/>
          <w:bCs/>
          <w:color w:val="000000" w:themeColor="text1"/>
          <w:rtl/>
          <w:lang w:val="en-US" w:bidi="ar-MA"/>
        </w:rPr>
        <w:t>الاواخر</w:t>
      </w:r>
      <w:r w:rsidRPr="0033747E">
        <w:rPr>
          <w:b/>
          <w:bCs/>
          <w:color w:val="000000" w:themeColor="text1"/>
          <w:rtl/>
          <w:lang w:val="en-US"/>
        </w:rPr>
        <w:t xml:space="preserve"> ". كانوا يسعون إلى ترسيخ الشروط المواتية لبقائهم كقانون عالمي. ما كان يميز "الرجل الأخير" هو إرادته في السيطرة والتمتع، وفي الغزو والتحكم، و</w:t>
      </w:r>
      <w:r w:rsidRPr="0033747E">
        <w:rPr>
          <w:b/>
          <w:bCs/>
          <w:color w:val="00B050"/>
          <w:rtl/>
          <w:lang w:val="en-US"/>
        </w:rPr>
        <w:t>ميله</w:t>
      </w:r>
      <w:r w:rsidRPr="0033747E">
        <w:rPr>
          <w:b/>
          <w:bCs/>
          <w:color w:val="000000" w:themeColor="text1"/>
          <w:rtl/>
          <w:lang w:val="en-US"/>
        </w:rPr>
        <w:t xml:space="preserve"> إلى السلب، </w:t>
      </w:r>
      <w:r w:rsidRPr="0033747E">
        <w:rPr>
          <w:b/>
          <w:bCs/>
          <w:color w:val="00B0F0"/>
          <w:rtl/>
          <w:lang w:val="en-US"/>
        </w:rPr>
        <w:t>وإذا لزم الأمر</w:t>
      </w:r>
      <w:r w:rsidRPr="0033747E">
        <w:rPr>
          <w:b/>
          <w:bCs/>
          <w:color w:val="000000" w:themeColor="text1"/>
          <w:rtl/>
          <w:lang w:val="en-US"/>
        </w:rPr>
        <w:t xml:space="preserve">، إلى الإبادة. كان "الرجل الأخير" يستشهد باستمرار بالقانون، والحق، والحضارة. لكنه كان يتصرف تماماً كما لو أنه لا يوجد قانون، ولا حق، ولا حضارة إلا ما يخصه هو. </w:t>
      </w:r>
      <w:r w:rsidRPr="0033747E">
        <w:rPr>
          <w:b/>
          <w:bCs/>
          <w:color w:val="00B0F0"/>
          <w:rtl/>
          <w:lang w:val="en-US"/>
        </w:rPr>
        <w:t>وعليه</w:t>
      </w:r>
      <w:r w:rsidR="00AD0995" w:rsidRPr="00AD0995">
        <w:rPr>
          <w:rtl/>
        </w:rPr>
        <w:t xml:space="preserve"> </w:t>
      </w:r>
      <w:r w:rsidR="00AD0995" w:rsidRPr="00AD0995">
        <w:rPr>
          <w:b/>
          <w:bCs/>
          <w:color w:val="000000" w:themeColor="text1"/>
          <w:rtl/>
          <w:lang w:val="en-US"/>
        </w:rPr>
        <w:t xml:space="preserve">كذلك، فلم يكن ممكنا الحكم أخلاقيا على أية جريمة قادها أو حرض عليها مهما كانت درجة فداحتها. وما كان يعز عليه حيازة ما بيد الغير – مهما كان- زاعما الحصول عليه بالقوة أو الحيلة أو الخداع. كما كان لا </w:t>
      </w:r>
      <w:proofErr w:type="spellStart"/>
      <w:r w:rsidR="00AD0995" w:rsidRPr="00AD0995">
        <w:rPr>
          <w:b/>
          <w:bCs/>
          <w:color w:val="000000" w:themeColor="text1"/>
          <w:rtl/>
          <w:lang w:val="en-US"/>
        </w:rPr>
        <w:t>يألو</w:t>
      </w:r>
      <w:proofErr w:type="spellEnd"/>
      <w:r w:rsidR="00AD0995" w:rsidRPr="00AD0995">
        <w:rPr>
          <w:b/>
          <w:bCs/>
          <w:color w:val="000000" w:themeColor="text1"/>
          <w:rtl/>
          <w:lang w:val="en-US"/>
        </w:rPr>
        <w:t xml:space="preserve"> جهدا محافظا على سطوته </w:t>
      </w:r>
      <w:proofErr w:type="gramStart"/>
      <w:r w:rsidR="00AD0995" w:rsidRPr="00AD0995">
        <w:rPr>
          <w:b/>
          <w:bCs/>
          <w:color w:val="000000" w:themeColor="text1"/>
          <w:rtl/>
          <w:lang w:val="en-US"/>
        </w:rPr>
        <w:t>و زارعا</w:t>
      </w:r>
      <w:proofErr w:type="gramEnd"/>
      <w:r w:rsidR="00AD0995" w:rsidRPr="00AD0995">
        <w:rPr>
          <w:b/>
          <w:bCs/>
          <w:color w:val="000000" w:themeColor="text1"/>
          <w:rtl/>
          <w:lang w:val="en-US"/>
        </w:rPr>
        <w:t xml:space="preserve"> الرعب في كل قوة متنامية لحماية سطوته وحماية ثمرة عمله.</w:t>
      </w:r>
    </w:p>
    <w:p w14:paraId="4360005D" w14:textId="45039623" w:rsidR="0033747E" w:rsidRPr="0033747E" w:rsidRDefault="0033747E" w:rsidP="00AD0995">
      <w:pPr>
        <w:pStyle w:val="BodyText"/>
        <w:bidi/>
        <w:spacing w:before="159" w:line="360" w:lineRule="auto"/>
        <w:rPr>
          <w:b/>
          <w:bCs/>
          <w:color w:val="000000" w:themeColor="text1"/>
          <w:lang w:val="en-US"/>
        </w:rPr>
      </w:pPr>
      <w:r w:rsidRPr="0033747E">
        <w:rPr>
          <w:b/>
          <w:bCs/>
          <w:color w:val="000000" w:themeColor="text1"/>
          <w:rtl/>
          <w:lang w:val="en-US"/>
        </w:rPr>
        <w:t>أما الآخرون، "نفايات البشر"، العاجزون عن توليد أنفسهم، فقد كان مصيرهم الخضوع. ولأنهم تخلوا عن الصراع، كان دورهم هو حمل شقاء الأوائل والتذمر منه بلا نهاية. لقد تبنوا هذا الدور جيداً لدرجة أنهم انتهوا إلى حمل هذا النواح الذي لا ينتهي باعتباره الكلمة الأخيرة لهويتهم. وبما أن فكرة المساواة العالمية والتكافؤ بين البشر (عقيدة الضعفاء) تنتمي في الحقيقة إلى الدين كشكل من أشكال "تخدير الشفقة"، كان لا بد من إلغاء فكرة الأخلاق ذاتها. كان عليها أن تفسح المجال للإيمان بالحق الذاتي – "الحق القويم" الذي لا يستمد شرعيته من القوة فحسب، بل يجد متعته أيضاً في الجهل وراحة الضمير</w:t>
      </w:r>
      <w:r w:rsidRPr="0033747E">
        <w:rPr>
          <w:b/>
          <w:bCs/>
          <w:color w:val="000000" w:themeColor="text1"/>
          <w:lang w:val="en-US"/>
        </w:rPr>
        <w:t>.</w:t>
      </w:r>
    </w:p>
    <w:p w14:paraId="6376B39B" w14:textId="77777777" w:rsidR="002B6E33" w:rsidRDefault="0033747E" w:rsidP="0033747E">
      <w:pPr>
        <w:pStyle w:val="BodyText"/>
        <w:bidi/>
        <w:spacing w:before="159" w:line="360" w:lineRule="auto"/>
        <w:rPr>
          <w:b/>
          <w:bCs/>
          <w:color w:val="000000" w:themeColor="text1"/>
          <w:lang w:val="en-US"/>
        </w:rPr>
      </w:pPr>
      <w:r w:rsidRPr="0033747E">
        <w:rPr>
          <w:b/>
          <w:bCs/>
          <w:color w:val="000000" w:themeColor="text1"/>
          <w:rtl/>
          <w:lang w:val="en-US"/>
        </w:rPr>
        <w:t>والحال أننا لم نخرج بعد من عصر "الحق القويم" هذا الذي يستمد شرعيته من القوة والجهل وراحة الضمير، والذي شكّل الاستعمار ذروته. إن عصرنا هو عصر يحاول أن يعيد إلى الواجهة الأسطورة القديمة القائلة بأن الغرب وحده يمتلك احتكار المستقبل</w:t>
      </w:r>
    </w:p>
    <w:p w14:paraId="780C7DE6" w14:textId="77777777" w:rsidR="002B6E33" w:rsidRPr="002B6E33" w:rsidRDefault="002B6E33" w:rsidP="002B6E33">
      <w:pPr>
        <w:pStyle w:val="BodyText"/>
        <w:bidi/>
        <w:spacing w:before="159" w:line="360" w:lineRule="auto"/>
        <w:rPr>
          <w:b/>
          <w:bCs/>
          <w:color w:val="000000" w:themeColor="text1"/>
          <w:lang w:val="en-US"/>
        </w:rPr>
      </w:pPr>
      <w:r w:rsidRPr="002B6E33">
        <w:rPr>
          <w:b/>
          <w:bCs/>
          <w:color w:val="000000" w:themeColor="text1"/>
          <w:rtl/>
          <w:lang w:val="en-US"/>
        </w:rPr>
        <w:t xml:space="preserve">أشيل </w:t>
      </w:r>
      <w:proofErr w:type="spellStart"/>
      <w:r w:rsidRPr="002B6E33">
        <w:rPr>
          <w:b/>
          <w:bCs/>
          <w:color w:val="000000" w:themeColor="text1"/>
          <w:rtl/>
          <w:lang w:val="en-US"/>
        </w:rPr>
        <w:t>مبيمبي</w:t>
      </w:r>
      <w:proofErr w:type="spellEnd"/>
      <w:r w:rsidRPr="002B6E33">
        <w:rPr>
          <w:b/>
          <w:bCs/>
          <w:color w:val="000000" w:themeColor="text1"/>
          <w:rtl/>
          <w:lang w:val="en-US"/>
        </w:rPr>
        <w:t xml:space="preserve">، فجر ليل طويل، مقالة عن افريقيا المحررة، منشورات </w:t>
      </w:r>
      <w:proofErr w:type="spellStart"/>
      <w:r w:rsidRPr="002B6E33">
        <w:rPr>
          <w:b/>
          <w:bCs/>
          <w:color w:val="000000" w:themeColor="text1"/>
          <w:rtl/>
          <w:lang w:val="en-US"/>
        </w:rPr>
        <w:t>لاديكوفيرط</w:t>
      </w:r>
      <w:proofErr w:type="spellEnd"/>
      <w:r w:rsidRPr="002B6E33">
        <w:rPr>
          <w:b/>
          <w:bCs/>
          <w:color w:val="000000" w:themeColor="text1"/>
          <w:rtl/>
          <w:lang w:val="en-US"/>
        </w:rPr>
        <w:t>،</w:t>
      </w:r>
    </w:p>
    <w:p w14:paraId="54FACEF1" w14:textId="1246C76F" w:rsidR="0033747E" w:rsidRPr="0033747E" w:rsidRDefault="002B6E33" w:rsidP="002B6E33">
      <w:pPr>
        <w:pStyle w:val="BodyText"/>
        <w:bidi/>
        <w:spacing w:before="159" w:line="360" w:lineRule="auto"/>
        <w:rPr>
          <w:b/>
          <w:bCs/>
          <w:color w:val="000000" w:themeColor="text1"/>
          <w:lang w:val="en-US"/>
        </w:rPr>
      </w:pPr>
      <w:r w:rsidRPr="002B6E33">
        <w:rPr>
          <w:b/>
          <w:bCs/>
          <w:color w:val="000000" w:themeColor="text1"/>
          <w:lang w:val="en-US"/>
        </w:rPr>
        <w:t>. 2013</w:t>
      </w:r>
      <w:r w:rsidRPr="002B6E33">
        <w:rPr>
          <w:b/>
          <w:bCs/>
          <w:color w:val="000000" w:themeColor="text1"/>
          <w:rtl/>
          <w:lang w:val="en-US"/>
        </w:rPr>
        <w:t xml:space="preserve"> ، الصفحات من 216 إلى 218</w:t>
      </w:r>
      <w:r w:rsidR="0033747E" w:rsidRPr="0033747E">
        <w:rPr>
          <w:b/>
          <w:bCs/>
          <w:color w:val="000000" w:themeColor="text1"/>
          <w:lang w:val="en-US"/>
        </w:rPr>
        <w:t>.</w:t>
      </w:r>
    </w:p>
    <w:p w14:paraId="64D64E13" w14:textId="77777777" w:rsidR="0033747E" w:rsidRPr="0033747E" w:rsidRDefault="0033747E" w:rsidP="0033747E">
      <w:pPr>
        <w:pStyle w:val="BodyText"/>
        <w:spacing w:before="159" w:line="360" w:lineRule="auto"/>
        <w:rPr>
          <w:b/>
          <w:bCs/>
          <w:color w:val="000000" w:themeColor="text1"/>
          <w:lang w:val="en-US" w:bidi="ar-MA"/>
        </w:rPr>
      </w:pPr>
    </w:p>
    <w:sectPr w:rsidR="0033747E" w:rsidRPr="0033747E">
      <w:type w:val="continuous"/>
      <w:pgSz w:w="11910" w:h="16840"/>
      <w:pgMar w:top="700" w:right="1417"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96178"/>
    <w:multiLevelType w:val="hybridMultilevel"/>
    <w:tmpl w:val="F1F28B12"/>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74082FF3"/>
    <w:multiLevelType w:val="hybridMultilevel"/>
    <w:tmpl w:val="91A4E0F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num w:numId="1" w16cid:durableId="1078356951">
    <w:abstractNumId w:val="1"/>
  </w:num>
  <w:num w:numId="2" w16cid:durableId="96103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41"/>
    <w:rsid w:val="000E185D"/>
    <w:rsid w:val="0019120E"/>
    <w:rsid w:val="001B38E7"/>
    <w:rsid w:val="00222755"/>
    <w:rsid w:val="002B22AE"/>
    <w:rsid w:val="002B6E33"/>
    <w:rsid w:val="0033747E"/>
    <w:rsid w:val="003B4EE1"/>
    <w:rsid w:val="004E7037"/>
    <w:rsid w:val="00520D41"/>
    <w:rsid w:val="009A267A"/>
    <w:rsid w:val="00AD0995"/>
    <w:rsid w:val="00B27256"/>
    <w:rsid w:val="00BC4860"/>
    <w:rsid w:val="00C64392"/>
    <w:rsid w:val="00EF7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5183"/>
  <w15:docId w15:val="{1E247673-80AF-495B-BE3B-AFEA5398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141"/>
      <w:jc w:val="both"/>
    </w:pPr>
    <w:rPr>
      <w:sz w:val="24"/>
      <w:szCs w:val="24"/>
    </w:rPr>
  </w:style>
  <w:style w:type="paragraph" w:styleId="Title">
    <w:name w:val="Title"/>
    <w:basedOn w:val="Normal"/>
    <w:uiPriority w:val="10"/>
    <w:qFormat/>
    <w:pPr>
      <w:spacing w:before="40"/>
      <w:ind w:right="3702"/>
      <w:jc w:val="right"/>
    </w:pPr>
    <w:rPr>
      <w:rFonts w:ascii="Microsoft Sans Serif" w:eastAsia="Microsoft Sans Serif" w:hAnsi="Microsoft Sans Serif" w:cs="Microsoft Sans Serif"/>
      <w:sz w:val="25"/>
      <w:szCs w:val="25"/>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D768C3ED5584A86D0B38C6DDCC5C1" ma:contentTypeVersion="10" ma:contentTypeDescription="Crée un document." ma:contentTypeScope="" ma:versionID="38c25ebcb99bd70bf776af5877ba9bcf">
  <xsd:schema xmlns:xsd="http://www.w3.org/2001/XMLSchema" xmlns:xs="http://www.w3.org/2001/XMLSchema" xmlns:p="http://schemas.microsoft.com/office/2006/metadata/properties" xmlns:ns3="7a266f71-f3e5-4f93-a89f-193e067a6f6c" targetNamespace="http://schemas.microsoft.com/office/2006/metadata/properties" ma:root="true" ma:fieldsID="80bd361cf2ec95ff2dbc127eb1954a6a" ns3:_="">
    <xsd:import namespace="7a266f71-f3e5-4f93-a89f-193e067a6f6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66f71-f3e5-4f93-a89f-193e067a6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266f71-f3e5-4f93-a89f-193e067a6f6c" xsi:nil="true"/>
  </documentManagement>
</p:properties>
</file>

<file path=customXml/itemProps1.xml><?xml version="1.0" encoding="utf-8"?>
<ds:datastoreItem xmlns:ds="http://schemas.openxmlformats.org/officeDocument/2006/customXml" ds:itemID="{1A1DDF49-4682-4994-B21B-EED119DC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66f71-f3e5-4f93-a89f-193e067a6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E3841-BAFB-425F-B90C-8F7C3711A54E}">
  <ds:schemaRefs>
    <ds:schemaRef ds:uri="http://schemas.microsoft.com/sharepoint/v3/contenttype/forms"/>
  </ds:schemaRefs>
</ds:datastoreItem>
</file>

<file path=customXml/itemProps3.xml><?xml version="1.0" encoding="utf-8"?>
<ds:datastoreItem xmlns:ds="http://schemas.openxmlformats.org/officeDocument/2006/customXml" ds:itemID="{CA3CEC0F-D0C3-4ACA-B2E1-02E7F4E2C36D}">
  <ds:schemaRefs>
    <ds:schemaRef ds:uri="http://schemas.microsoft.com/office/2006/metadata/properties"/>
    <ds:schemaRef ds:uri="http://schemas.microsoft.com/office/infopath/2007/PartnerControls"/>
    <ds:schemaRef ds:uri="7a266f71-f3e5-4f93-a89f-193e067a6f6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855</Words>
  <Characters>4046</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RAKIB NAOUFAL</cp:lastModifiedBy>
  <cp:revision>4</cp:revision>
  <dcterms:created xsi:type="dcterms:W3CDTF">2025-10-27T12:22:00Z</dcterms:created>
  <dcterms:modified xsi:type="dcterms:W3CDTF">2025-10-27T12:42:00Z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 2016</vt:lpwstr>
  </property>
  <property fmtid="{D5CDD505-2E9C-101B-9397-08002B2CF9AE}" pid="4" name="LastSaved">
    <vt:filetime>2025-10-26T00:00:00Z</vt:filetime>
  </property>
  <property fmtid="{D5CDD505-2E9C-101B-9397-08002B2CF9AE}" pid="5" name="Producer">
    <vt:lpwstr>Microsoft® Word 2016</vt:lpwstr>
  </property>
  <property fmtid="{D5CDD505-2E9C-101B-9397-08002B2CF9AE}" pid="6" name="ContentTypeId">
    <vt:lpwstr>0x0101003F8D768C3ED5584A86D0B38C6DDCC5C1</vt:lpwstr>
  </property>
</Properties>
</file>